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" w:eastAsia="仿宋_GB2312" w:cs="华文仿宋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华文仿宋"/>
          <w:kern w:val="2"/>
          <w:sz w:val="32"/>
          <w:szCs w:val="32"/>
          <w:lang w:val="en-US" w:eastAsia="zh-CN"/>
        </w:rPr>
        <w:t>附件一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《风险提示函》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合作机构名称      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年  月  日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，贵司在基金备案的再担保业务累计解保代偿率达到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。提示贵司分析代偿风险发生原因，关注合作机构业务风险，采取有效措施，提早防范和化解代偿风险。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基金联系人：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联系电话：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国家融资担保基金有限责任公司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年  月  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63648"/>
    <w:rsid w:val="1B26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2022-03-22T02:43:00Z</dcterms:created>
  <dc:creator>赵雨剑</dc:creator>
  <cp:lastModifiedBy>赵雨剑</cp:lastModifiedBy>
  <dcterms:modified xsi:type="dcterms:W3CDTF">2022-03-22T02:43:50Z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