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《风险问询函》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合作机构名称  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仿宋" w:eastAsia="仿宋_GB2312" w:cs="华文仿宋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年  月  日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，贵司在基金备案的再担保业务累计解保代偿率达到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。请贵司在收到本函10个工作日内，就</w:t>
      </w:r>
      <w:r>
        <w:rPr>
          <w:rFonts w:hint="eastAsia" w:ascii="仿宋_GB2312" w:hAnsi="仿宋" w:eastAsia="仿宋_GB2312" w:cs="华文仿宋"/>
          <w:kern w:val="2"/>
          <w:sz w:val="32"/>
          <w:szCs w:val="32"/>
          <w:highlight w:val="none"/>
          <w:lang w:val="en-US" w:eastAsia="zh-CN"/>
        </w:rPr>
        <w:t>业务代偿风险情况向基金作出说明，报告代偿风险发生原因、拟采取的应对措施及缓释手段，下一步风险处置方案等。我司将持续跟踪贵司措施落实和代偿风险情况。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基金联系人：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国家融资担保基金有限责任公司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年  月  日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A0CCB"/>
    <w:rsid w:val="5F8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2022-03-22T02:43:00Z</dcterms:created>
  <dc:creator>赵雨剑</dc:creator>
  <cp:lastModifiedBy>赵雨剑</cp:lastModifiedBy>
  <dcterms:modified xsi:type="dcterms:W3CDTF">2022-03-22T02:44:07Z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