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《风险警示函》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合作机构名称  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年  月  日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，贵司在基金备案的再担保业务累计解保代偿率达到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%。依据双方签订的《再担保合同》，贵司业务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代偿风险已经触及基金与贵司中止合作的红线。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" w:eastAsia="仿宋_GB2312" w:cs="华文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请贵司在收到本函10个工作日内，就</w:t>
      </w:r>
      <w:r>
        <w:rPr>
          <w:rFonts w:hint="eastAsia" w:ascii="仿宋_GB2312" w:hAnsi="仿宋" w:eastAsia="仿宋_GB2312" w:cs="华文仿宋"/>
          <w:kern w:val="2"/>
          <w:sz w:val="32"/>
          <w:szCs w:val="32"/>
          <w:highlight w:val="none"/>
          <w:lang w:val="en-US" w:eastAsia="zh-CN"/>
        </w:rPr>
        <w:t>业务代偿风险情况向基金提交整改报告，报告内容包括但不限于：代偿风险发生原因、拟采取的应对措施及缓释手段，下一步风险处置方案等。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仿宋_GB2312" w:hAnsi="仿宋" w:eastAsia="仿宋_GB2312" w:cs="华文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华文仿宋"/>
          <w:kern w:val="2"/>
          <w:sz w:val="32"/>
          <w:szCs w:val="32"/>
          <w:highlight w:val="none"/>
          <w:lang w:val="en-US" w:eastAsia="zh-CN"/>
        </w:rPr>
        <w:t>我司将跟踪贵司整改报告落实情况，如贵司在收到本函之日起六个月内，仍不能将代偿率降至5%以内的，基金将与贵司暂停业务合作。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基金联系人：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国家融资担保基金有限责任公司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年  月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15273"/>
    <w:rsid w:val="61A1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2022-03-22T02:44:00Z</dcterms:created>
  <dc:creator>赵雨剑</dc:creator>
  <cp:lastModifiedBy>赵雨剑</cp:lastModifiedBy>
  <dcterms:modified xsi:type="dcterms:W3CDTF">2022-03-22T02:44:23Z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