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楷体" w:hAnsi="楷体" w:eastAsia="楷体" w:cs="楷体"/>
          <w:sz w:val="32"/>
          <w:szCs w:val="44"/>
        </w:rPr>
      </w:pPr>
      <w:bookmarkStart w:id="0" w:name="_Hlk22223803"/>
    </w:p>
    <w:p>
      <w:pPr>
        <w:spacing w:line="680" w:lineRule="exact"/>
        <w:jc w:val="center"/>
        <w:rPr>
          <w:rFonts w:ascii="方正小标宋简体" w:eastAsia="方正小标宋简体" w:cs="黑体" w:hAnsiTheme="majorEastAsia"/>
          <w:sz w:val="44"/>
          <w:szCs w:val="44"/>
        </w:rPr>
      </w:pPr>
      <w:r>
        <w:rPr>
          <w:rFonts w:hint="eastAsia" w:ascii="方正小标宋简体" w:eastAsia="方正小标宋简体" w:cs="黑体" w:hAnsiTheme="majorEastAsia"/>
          <w:sz w:val="44"/>
          <w:szCs w:val="44"/>
        </w:rPr>
        <w:t>国家融资担保基金有限责任公司</w:t>
      </w:r>
    </w:p>
    <w:p>
      <w:pPr>
        <w:spacing w:line="680" w:lineRule="exact"/>
        <w:jc w:val="center"/>
        <w:rPr>
          <w:rFonts w:ascii="方正小标宋简体" w:eastAsia="方正小标宋简体" w:cs="黑体" w:hAnsiTheme="majorEastAsia"/>
          <w:sz w:val="44"/>
          <w:szCs w:val="44"/>
        </w:rPr>
      </w:pPr>
      <w:r>
        <w:rPr>
          <w:rFonts w:hint="eastAsia" w:ascii="楷体_GB2312" w:hAnsi="仿宋" w:eastAsia="楷体_GB2312" w:cs="华文仿宋"/>
          <w:sz w:val="32"/>
          <w:szCs w:val="32"/>
        </w:rPr>
        <w:t xml:space="preserve"> </w:t>
      </w:r>
      <w:r>
        <w:rPr>
          <w:rFonts w:hint="eastAsia" w:ascii="方正小标宋简体" w:eastAsia="方正小标宋简体" w:cs="黑体" w:hAnsiTheme="majorEastAsia"/>
          <w:sz w:val="44"/>
          <w:szCs w:val="44"/>
        </w:rPr>
        <w:t>股权投资业务管理暂行办法</w:t>
      </w:r>
    </w:p>
    <w:p>
      <w:pPr>
        <w:spacing w:line="640" w:lineRule="exact"/>
        <w:jc w:val="center"/>
        <w:rPr>
          <w:rFonts w:hint="eastAsia" w:ascii="楷体" w:hAnsi="楷体" w:eastAsia="楷体" w:cs="楷体"/>
          <w:sz w:val="32"/>
          <w:szCs w:val="32"/>
        </w:rPr>
      </w:pPr>
      <w:r>
        <w:rPr>
          <w:rFonts w:hint="eastAsia" w:ascii="楷体" w:hAnsi="楷体" w:eastAsia="楷体" w:cs="楷体"/>
          <w:sz w:val="32"/>
          <w:szCs w:val="32"/>
        </w:rPr>
        <w:t>（2020年修订版）</w:t>
      </w:r>
    </w:p>
    <w:p>
      <w:pPr>
        <w:spacing w:before="312" w:beforeLines="100" w:after="156" w:afterLines="50" w:line="540" w:lineRule="exact"/>
        <w:jc w:val="center"/>
        <w:rPr>
          <w:rFonts w:ascii="仿宋" w:hAnsi="仿宋" w:eastAsia="仿宋" w:cs="黑体"/>
          <w:b/>
          <w:sz w:val="32"/>
          <w:szCs w:val="32"/>
        </w:rPr>
      </w:pPr>
      <w:r>
        <w:rPr>
          <w:rFonts w:hint="eastAsia" w:ascii="仿宋" w:hAnsi="仿宋" w:eastAsia="仿宋" w:cs="黑体"/>
          <w:b/>
          <w:sz w:val="32"/>
          <w:szCs w:val="32"/>
        </w:rPr>
        <w:t>第一章 总 则</w:t>
      </w:r>
      <w:bookmarkStart w:id="2" w:name="_GoBack"/>
      <w:bookmarkEnd w:id="2"/>
    </w:p>
    <w:p>
      <w:pPr>
        <w:pStyle w:val="3"/>
        <w:spacing w:line="540" w:lineRule="exact"/>
        <w:ind w:firstLine="643" w:firstLineChars="200"/>
        <w:rPr>
          <w:rFonts w:ascii="仿宋" w:hAnsi="仿宋" w:eastAsia="仿宋" w:cs="华文仿宋"/>
          <w:sz w:val="32"/>
          <w:szCs w:val="32"/>
        </w:rPr>
      </w:pPr>
      <w:r>
        <w:rPr>
          <w:rFonts w:ascii="仿宋" w:hAnsi="仿宋" w:eastAsia="仿宋" w:cs="华文仿宋"/>
          <w:b/>
          <w:sz w:val="32"/>
          <w:szCs w:val="32"/>
        </w:rPr>
        <w:t>第一条</w:t>
      </w:r>
      <w:r>
        <w:rPr>
          <w:rFonts w:hint="eastAsia" w:ascii="仿宋" w:hAnsi="仿宋" w:eastAsia="仿宋" w:cs="华文仿宋"/>
          <w:sz w:val="32"/>
          <w:szCs w:val="32"/>
        </w:rPr>
        <w:t xml:space="preserve"> 为规范国家融资担保基金有限责任公司（以下简称“基金”）股权</w:t>
      </w:r>
      <w:r>
        <w:rPr>
          <w:rFonts w:ascii="仿宋" w:hAnsi="仿宋" w:eastAsia="仿宋" w:cs="华文仿宋"/>
          <w:sz w:val="32"/>
          <w:szCs w:val="32"/>
        </w:rPr>
        <w:t>投资</w:t>
      </w:r>
      <w:r>
        <w:rPr>
          <w:rFonts w:hint="eastAsia" w:ascii="仿宋" w:hAnsi="仿宋" w:eastAsia="仿宋" w:cs="华文仿宋"/>
          <w:sz w:val="32"/>
          <w:szCs w:val="32"/>
        </w:rPr>
        <w:t>，积极发挥政策引导作用，推动构建全国政府性融资担保体系，提升对小微企业、“三农”和创业创新等普惠领域金融服务能力，根据《国务院办公厅关于有效发挥政府性融资担保基金作用切实支持小微企业和“三农”发展的指导意见》（国办发〔2019〕6号，以下简称6号文）等法律法规及公司章程有关规定，制定本办法。</w:t>
      </w:r>
    </w:p>
    <w:p>
      <w:pPr>
        <w:pStyle w:val="3"/>
        <w:spacing w:line="540" w:lineRule="exact"/>
        <w:ind w:firstLine="643" w:firstLineChars="200"/>
        <w:rPr>
          <w:rFonts w:ascii="仿宋" w:hAnsi="仿宋" w:eastAsia="仿宋" w:cs="华文仿宋"/>
          <w:sz w:val="32"/>
          <w:szCs w:val="32"/>
        </w:rPr>
      </w:pPr>
      <w:r>
        <w:rPr>
          <w:rFonts w:hint="eastAsia" w:ascii="仿宋" w:hAnsi="仿宋" w:eastAsia="仿宋" w:cs="华文仿宋"/>
          <w:b/>
          <w:sz w:val="32"/>
          <w:szCs w:val="32"/>
        </w:rPr>
        <w:t>第二条</w:t>
      </w:r>
      <w:r>
        <w:rPr>
          <w:rFonts w:hint="eastAsia" w:ascii="仿宋" w:hAnsi="仿宋" w:eastAsia="仿宋" w:cs="华文仿宋"/>
          <w:sz w:val="32"/>
          <w:szCs w:val="32"/>
        </w:rPr>
        <w:t xml:space="preserve"> 本办法所称股权投资，是基金根据国家政策和基金发展规划，以自有资金或股权投入，取得特定政府性融资担保、再担保机构股权的交易行为。</w:t>
      </w:r>
    </w:p>
    <w:p>
      <w:pPr>
        <w:pStyle w:val="3"/>
        <w:spacing w:line="540" w:lineRule="exact"/>
        <w:ind w:firstLine="643" w:firstLineChars="200"/>
        <w:rPr>
          <w:rFonts w:ascii="仿宋" w:hAnsi="仿宋" w:eastAsia="仿宋" w:cs="华文仿宋"/>
          <w:sz w:val="32"/>
          <w:szCs w:val="32"/>
        </w:rPr>
      </w:pPr>
      <w:r>
        <w:rPr>
          <w:rFonts w:hint="eastAsia" w:ascii="仿宋" w:hAnsi="仿宋" w:eastAsia="仿宋" w:cs="华文仿宋"/>
          <w:b/>
          <w:sz w:val="32"/>
          <w:szCs w:val="32"/>
        </w:rPr>
        <w:t xml:space="preserve">第三条 </w:t>
      </w:r>
      <w:r>
        <w:rPr>
          <w:rFonts w:hint="eastAsia" w:ascii="仿宋" w:hAnsi="仿宋" w:eastAsia="仿宋" w:cs="华文仿宋"/>
          <w:sz w:val="32"/>
          <w:szCs w:val="32"/>
        </w:rPr>
        <w:t>基金股权投资按照以下原则开展：</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一）坚持政策性定位。以股权投资为纽带，引导和支持地方政府性融资担保、再担保机构聚焦支小支农融资担保主业，不以盈利为目的，充分发挥增信分险降费功能作用，有效缓解普惠领域“融资难、融资贵”问题。</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（二）坚持“投保联动”。基金股权投资与再担保业务合作有机结合、互为依托，不断增强政府性融资担保体系的资本实力与业务拓展能力。</w:t>
      </w:r>
    </w:p>
    <w:p>
      <w:pPr>
        <w:pStyle w:val="3"/>
        <w:ind w:firstLine="640" w:firstLineChars="200"/>
        <w:rPr>
          <w:rFonts w:ascii="仿宋" w:hAnsi="仿宋" w:eastAsia="仿宋" w:cs="华文仿宋"/>
          <w:sz w:val="32"/>
          <w:szCs w:val="32"/>
        </w:rPr>
      </w:pPr>
      <w:r>
        <w:rPr>
          <w:rFonts w:hint="eastAsia" w:ascii="仿宋" w:hAnsi="仿宋" w:eastAsia="仿宋" w:cs="华文仿宋"/>
          <w:sz w:val="32"/>
          <w:szCs w:val="32"/>
        </w:rPr>
        <w:t>（三）坚持审慎稳步推进。立足当前，充分结合政府性融资担保体系建设现状，选择条件相对成熟的机构先行先试，发挥示范带动作用，不断完善投资标准，分阶段分步骤实施，扎实开展股权投资工作。</w:t>
      </w:r>
    </w:p>
    <w:p>
      <w:pPr>
        <w:spacing w:line="540" w:lineRule="exact"/>
        <w:ind w:firstLine="643" w:firstLineChars="200"/>
        <w:rPr>
          <w:rFonts w:ascii="仿宋" w:hAnsi="仿宋" w:eastAsia="仿宋" w:cs="华文仿宋"/>
          <w:bCs/>
          <w:sz w:val="32"/>
          <w:szCs w:val="32"/>
        </w:rPr>
      </w:pPr>
      <w:r>
        <w:rPr>
          <w:rFonts w:hint="eastAsia" w:ascii="仿宋" w:hAnsi="仿宋" w:eastAsia="仿宋" w:cs="华文仿宋"/>
          <w:b/>
          <w:sz w:val="32"/>
          <w:szCs w:val="32"/>
        </w:rPr>
        <w:t xml:space="preserve">第四条 </w:t>
      </w:r>
      <w:r>
        <w:rPr>
          <w:rFonts w:hint="eastAsia" w:ascii="仿宋" w:hAnsi="仿宋" w:eastAsia="仿宋" w:cs="华文仿宋"/>
          <w:bCs/>
          <w:sz w:val="32"/>
          <w:szCs w:val="32"/>
        </w:rPr>
        <w:t>基金股权业务部牵头负责股权投资业务，负责编制</w:t>
      </w:r>
      <w:r>
        <w:rPr>
          <w:rFonts w:hint="eastAsia" w:ascii="仿宋" w:hAnsi="仿宋" w:eastAsia="仿宋" w:cs="华文仿宋"/>
          <w:bCs/>
          <w:sz w:val="32"/>
          <w:szCs w:val="32"/>
          <w:lang w:val="en-US" w:eastAsia="zh-CN"/>
        </w:rPr>
        <w:t>基金年度股权投资工作安排意见</w:t>
      </w:r>
      <w:r>
        <w:rPr>
          <w:rFonts w:hint="eastAsia" w:ascii="仿宋" w:hAnsi="仿宋" w:eastAsia="仿宋" w:cs="华文仿宋"/>
          <w:bCs/>
          <w:sz w:val="32"/>
          <w:szCs w:val="32"/>
        </w:rPr>
        <w:t>、选取投资对象、组织尽职调查、合同谈判与签订、投后管理等。再担保业务部负责提供合作机构相关信息等。风控合规部负责股权投资的法律与合规审查、风险评估和监督等。财务管理部负责投资资金拨付和回收等。</w:t>
      </w:r>
    </w:p>
    <w:p>
      <w:pPr>
        <w:spacing w:line="540" w:lineRule="exact"/>
        <w:ind w:firstLine="643" w:firstLineChars="200"/>
        <w:rPr>
          <w:rFonts w:ascii="仿宋" w:hAnsi="仿宋" w:eastAsia="仿宋" w:cs="华文仿宋"/>
          <w:sz w:val="32"/>
          <w:szCs w:val="32"/>
        </w:rPr>
      </w:pPr>
      <w:r>
        <w:rPr>
          <w:rFonts w:hint="eastAsia" w:ascii="仿宋" w:hAnsi="仿宋" w:eastAsia="仿宋" w:cs="华文仿宋"/>
          <w:b/>
          <w:sz w:val="32"/>
          <w:szCs w:val="32"/>
        </w:rPr>
        <w:t xml:space="preserve">第五条 </w:t>
      </w:r>
      <w:r>
        <w:rPr>
          <w:rFonts w:hint="eastAsia" w:ascii="仿宋" w:hAnsi="仿宋" w:eastAsia="仿宋" w:cs="华文仿宋"/>
          <w:bCs/>
          <w:sz w:val="32"/>
          <w:szCs w:val="32"/>
        </w:rPr>
        <w:t>基金年度股权投资工作安排意见，纳入基金年度经营计划，报经董事会批准后实施。年中股权投资方案需调整的，须按程序报经董事会批准。年度执行结果向董事会报告。</w:t>
      </w:r>
    </w:p>
    <w:p>
      <w:pPr>
        <w:spacing w:before="156" w:beforeLines="50" w:after="156" w:afterLines="50" w:line="540" w:lineRule="exact"/>
        <w:jc w:val="center"/>
        <w:rPr>
          <w:rFonts w:ascii="仿宋" w:hAnsi="仿宋" w:eastAsia="仿宋" w:cs="黑体"/>
          <w:b/>
          <w:sz w:val="32"/>
          <w:szCs w:val="32"/>
        </w:rPr>
      </w:pPr>
      <w:r>
        <w:rPr>
          <w:rFonts w:ascii="仿宋" w:hAnsi="仿宋" w:eastAsia="仿宋" w:cs="黑体"/>
          <w:b/>
          <w:sz w:val="32"/>
          <w:szCs w:val="32"/>
        </w:rPr>
        <w:t>第二章</w:t>
      </w:r>
      <w:r>
        <w:rPr>
          <w:rFonts w:hint="eastAsia" w:ascii="仿宋" w:hAnsi="仿宋" w:eastAsia="仿宋" w:cs="黑体"/>
          <w:b/>
          <w:sz w:val="32"/>
          <w:szCs w:val="32"/>
        </w:rPr>
        <w:t xml:space="preserve"> </w:t>
      </w:r>
      <w:r>
        <w:rPr>
          <w:rFonts w:ascii="仿宋" w:hAnsi="仿宋" w:eastAsia="仿宋" w:cs="黑体"/>
          <w:b/>
          <w:sz w:val="32"/>
          <w:szCs w:val="32"/>
        </w:rPr>
        <w:t>投资</w:t>
      </w:r>
      <w:r>
        <w:rPr>
          <w:rFonts w:hint="eastAsia" w:ascii="仿宋" w:hAnsi="仿宋" w:eastAsia="仿宋" w:cs="黑体"/>
          <w:b/>
          <w:sz w:val="32"/>
          <w:szCs w:val="32"/>
        </w:rPr>
        <w:t>对象</w:t>
      </w:r>
      <w:r>
        <w:rPr>
          <w:rFonts w:ascii="仿宋" w:hAnsi="仿宋" w:eastAsia="仿宋" w:cs="黑体"/>
          <w:b/>
          <w:sz w:val="32"/>
          <w:szCs w:val="32"/>
        </w:rPr>
        <w:t>、条件和</w:t>
      </w:r>
      <w:r>
        <w:rPr>
          <w:rFonts w:hint="eastAsia" w:ascii="仿宋" w:hAnsi="仿宋" w:eastAsia="仿宋" w:cs="黑体"/>
          <w:b/>
          <w:sz w:val="32"/>
          <w:szCs w:val="32"/>
        </w:rPr>
        <w:t>方式</w:t>
      </w:r>
    </w:p>
    <w:p>
      <w:pPr>
        <w:pStyle w:val="3"/>
        <w:spacing w:line="540" w:lineRule="exact"/>
        <w:ind w:firstLine="643" w:firstLineChars="200"/>
        <w:rPr>
          <w:rFonts w:ascii="仿宋" w:hAnsi="仿宋" w:eastAsia="仿宋" w:cs="华文仿宋"/>
          <w:sz w:val="32"/>
          <w:szCs w:val="32"/>
        </w:rPr>
      </w:pPr>
      <w:r>
        <w:rPr>
          <w:rFonts w:hint="eastAsia" w:ascii="仿宋" w:hAnsi="仿宋" w:eastAsia="仿宋" w:cs="华文仿宋"/>
          <w:b/>
          <w:sz w:val="32"/>
          <w:szCs w:val="32"/>
        </w:rPr>
        <w:t xml:space="preserve">第六条 </w:t>
      </w:r>
      <w:r>
        <w:rPr>
          <w:rFonts w:hint="eastAsia" w:ascii="仿宋" w:hAnsi="仿宋" w:eastAsia="仿宋" w:cs="华文仿宋"/>
          <w:sz w:val="32"/>
          <w:szCs w:val="32"/>
        </w:rPr>
        <w:t>基金股权投资对象为政府性融资担保机构，主要投资于省（自治区、直辖市、计划单列市）属政府性融资担保、再担保机构（以下统称省属机构），支持其投资辖内地市级政府性融资担保机构（以下统称市属机构）。</w:t>
      </w:r>
    </w:p>
    <w:p>
      <w:pPr>
        <w:pStyle w:val="3"/>
        <w:spacing w:line="540" w:lineRule="exact"/>
        <w:rPr>
          <w:rFonts w:ascii="仿宋" w:hAnsi="仿宋" w:eastAsia="仿宋" w:cs="华文仿宋"/>
          <w:sz w:val="32"/>
          <w:szCs w:val="32"/>
        </w:rPr>
      </w:pPr>
      <w:r>
        <w:rPr>
          <w:rFonts w:hint="eastAsia" w:ascii="仿宋" w:hAnsi="仿宋" w:eastAsia="仿宋" w:cs="华文仿宋"/>
          <w:b/>
          <w:sz w:val="32"/>
          <w:szCs w:val="32"/>
        </w:rPr>
        <w:t xml:space="preserve">    第七条</w:t>
      </w:r>
      <w:r>
        <w:rPr>
          <w:rFonts w:hint="eastAsia" w:ascii="仿宋" w:hAnsi="仿宋" w:eastAsia="仿宋" w:cs="华文仿宋"/>
          <w:sz w:val="32"/>
          <w:szCs w:val="32"/>
        </w:rPr>
        <w:t xml:space="preserve"> 基金股权投资</w:t>
      </w:r>
      <w:r>
        <w:rPr>
          <w:rFonts w:hint="eastAsia" w:ascii="仿宋" w:hAnsi="仿宋" w:eastAsia="仿宋" w:cs="华文仿宋"/>
          <w:sz w:val="32"/>
          <w:szCs w:val="32"/>
          <w:lang w:val="en-US" w:eastAsia="zh-CN"/>
        </w:rPr>
        <w:t>对象选取</w:t>
      </w:r>
      <w:r>
        <w:rPr>
          <w:rFonts w:hint="eastAsia" w:ascii="仿宋" w:hAnsi="仿宋" w:eastAsia="仿宋" w:cs="华文仿宋"/>
          <w:sz w:val="32"/>
          <w:szCs w:val="32"/>
        </w:rPr>
        <w:t>应满足以下条件：</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一）机构聚焦支小支农主业，专注服务小微企业、“三农”等普惠主体。符合政策要求的融资担保、再担保业务覆盖面广、规模大、占比高，政策性业务开拓能力较强，政策性功能作用发挥较好，并不断优化业务结构。</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（二）与基金开展再担保业务合作规模较大。</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（三）地方政府已出台系列支持政策，以保证机构持续健康发展。</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（四）机构</w:t>
      </w:r>
      <w:bookmarkStart w:id="1" w:name="_Hlk524599869"/>
      <w:r>
        <w:rPr>
          <w:rFonts w:hint="eastAsia" w:ascii="仿宋" w:hAnsi="仿宋" w:eastAsia="仿宋" w:cs="华文仿宋"/>
          <w:sz w:val="32"/>
          <w:szCs w:val="32"/>
        </w:rPr>
        <w:t>法人治理结构健全，</w:t>
      </w:r>
      <w:bookmarkEnd w:id="1"/>
      <w:r>
        <w:rPr>
          <w:rFonts w:hint="eastAsia" w:ascii="仿宋" w:hAnsi="仿宋" w:eastAsia="仿宋" w:cs="华文仿宋"/>
          <w:sz w:val="32"/>
          <w:szCs w:val="32"/>
        </w:rPr>
        <w:t>人员、机构、业务运作、风险控制、财务管理等符合公司治理的相关要求，具有较强的风险控制能力。</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（五）在地方</w:t>
      </w:r>
      <w:r>
        <w:rPr>
          <w:rFonts w:ascii="仿宋" w:hAnsi="仿宋" w:eastAsia="仿宋" w:cs="华文仿宋"/>
          <w:sz w:val="32"/>
          <w:szCs w:val="32"/>
        </w:rPr>
        <w:t>开展的</w:t>
      </w:r>
      <w:r>
        <w:rPr>
          <w:rFonts w:hint="eastAsia" w:ascii="仿宋" w:hAnsi="仿宋" w:eastAsia="仿宋" w:cs="华文仿宋"/>
          <w:sz w:val="32"/>
          <w:szCs w:val="32"/>
        </w:rPr>
        <w:t>政府性融资担保、再担保机构</w:t>
      </w:r>
      <w:r>
        <w:rPr>
          <w:rFonts w:ascii="仿宋" w:hAnsi="仿宋" w:eastAsia="仿宋" w:cs="华文仿宋"/>
          <w:sz w:val="32"/>
          <w:szCs w:val="32"/>
        </w:rPr>
        <w:t>年度绩效评价工作中，获得</w:t>
      </w:r>
      <w:r>
        <w:rPr>
          <w:rFonts w:hint="eastAsia" w:ascii="仿宋" w:hAnsi="仿宋" w:eastAsia="仿宋" w:cs="华文仿宋"/>
          <w:sz w:val="32"/>
          <w:szCs w:val="32"/>
        </w:rPr>
        <w:t>“</w:t>
      </w:r>
      <w:r>
        <w:rPr>
          <w:rFonts w:ascii="仿宋" w:hAnsi="仿宋" w:eastAsia="仿宋" w:cs="华文仿宋"/>
          <w:sz w:val="32"/>
          <w:szCs w:val="32"/>
        </w:rPr>
        <w:t>良</w:t>
      </w:r>
      <w:r>
        <w:rPr>
          <w:rFonts w:hint="eastAsia" w:ascii="仿宋" w:hAnsi="仿宋" w:eastAsia="仿宋" w:cs="华文仿宋"/>
          <w:sz w:val="32"/>
          <w:szCs w:val="32"/>
        </w:rPr>
        <w:t>”</w:t>
      </w:r>
      <w:r>
        <w:rPr>
          <w:rFonts w:ascii="仿宋" w:hAnsi="仿宋" w:eastAsia="仿宋" w:cs="华文仿宋"/>
          <w:sz w:val="32"/>
          <w:szCs w:val="32"/>
        </w:rPr>
        <w:t>及以上评价等次。</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（六）基金规定的其他条件。</w:t>
      </w:r>
    </w:p>
    <w:p>
      <w:pPr>
        <w:pStyle w:val="3"/>
        <w:spacing w:line="540" w:lineRule="exact"/>
        <w:ind w:firstLine="643" w:firstLineChars="200"/>
        <w:rPr>
          <w:rFonts w:ascii="仿宋" w:hAnsi="仿宋" w:eastAsia="仿宋" w:cs="华文仿宋"/>
          <w:sz w:val="32"/>
          <w:szCs w:val="32"/>
        </w:rPr>
      </w:pPr>
      <w:r>
        <w:rPr>
          <w:rFonts w:hint="eastAsia" w:ascii="仿宋" w:hAnsi="仿宋" w:eastAsia="仿宋" w:cs="华文仿宋"/>
          <w:b/>
          <w:sz w:val="32"/>
          <w:szCs w:val="32"/>
        </w:rPr>
        <w:t xml:space="preserve">第八条 </w:t>
      </w:r>
      <w:r>
        <w:rPr>
          <w:rFonts w:hint="eastAsia" w:ascii="仿宋" w:hAnsi="仿宋" w:eastAsia="仿宋" w:cs="华文仿宋"/>
          <w:sz w:val="32"/>
          <w:szCs w:val="32"/>
        </w:rPr>
        <w:t>对存在下列情形之一的机构，基金不予股权投资：</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（一）偏离主业盲目扩大业务范围</w:t>
      </w:r>
      <w:r>
        <w:rPr>
          <w:rFonts w:ascii="仿宋" w:hAnsi="仿宋" w:eastAsia="仿宋" w:cs="华文仿宋"/>
          <w:sz w:val="32"/>
          <w:szCs w:val="32"/>
        </w:rPr>
        <w:t>的</w:t>
      </w:r>
      <w:r>
        <w:rPr>
          <w:rFonts w:hint="eastAsia" w:ascii="仿宋" w:hAnsi="仿宋" w:eastAsia="仿宋" w:cs="华文仿宋"/>
          <w:sz w:val="32"/>
          <w:szCs w:val="32"/>
        </w:rPr>
        <w:t>；</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（二）6号文出台后为政府债券发行提供担保或为政府融资平台融资提供增信的；</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（三）6号文出台后向融资担保、再担保机构（含与主业直接相关的附属机构）以外的机构进行股权投资的；</w:t>
      </w:r>
    </w:p>
    <w:p>
      <w:pPr>
        <w:pStyle w:val="3"/>
        <w:spacing w:line="540" w:lineRule="exact"/>
        <w:ind w:firstLine="640" w:firstLineChars="200"/>
        <w:rPr>
          <w:rFonts w:ascii="仿宋" w:hAnsi="仿宋" w:eastAsia="仿宋" w:cs="华文仿宋"/>
          <w:sz w:val="32"/>
          <w:szCs w:val="32"/>
        </w:rPr>
      </w:pPr>
      <w:r>
        <w:rPr>
          <w:rFonts w:ascii="仿宋" w:hAnsi="仿宋" w:eastAsia="仿宋" w:cs="华文仿宋"/>
          <w:sz w:val="32"/>
          <w:szCs w:val="32"/>
        </w:rPr>
        <w:t>（</w:t>
      </w:r>
      <w:r>
        <w:rPr>
          <w:rFonts w:hint="eastAsia" w:ascii="仿宋" w:hAnsi="仿宋" w:eastAsia="仿宋" w:cs="华文仿宋"/>
          <w:sz w:val="32"/>
          <w:szCs w:val="32"/>
        </w:rPr>
        <w:t>四</w:t>
      </w:r>
      <w:r>
        <w:rPr>
          <w:rFonts w:ascii="仿宋" w:hAnsi="仿宋" w:eastAsia="仿宋" w:cs="华文仿宋"/>
          <w:sz w:val="32"/>
          <w:szCs w:val="32"/>
        </w:rPr>
        <w:t>）</w:t>
      </w:r>
      <w:r>
        <w:rPr>
          <w:rFonts w:hint="eastAsia" w:ascii="仿宋" w:hAnsi="仿宋" w:eastAsia="仿宋" w:cs="华文仿宋"/>
          <w:sz w:val="32"/>
          <w:szCs w:val="32"/>
        </w:rPr>
        <w:t>存在重大违法违规事项，或依法可能导致不能存续情形或障碍的。</w:t>
      </w:r>
    </w:p>
    <w:p>
      <w:pPr>
        <w:pStyle w:val="3"/>
        <w:spacing w:line="540" w:lineRule="exact"/>
        <w:ind w:firstLine="643" w:firstLineChars="200"/>
        <w:rPr>
          <w:rFonts w:ascii="仿宋" w:hAnsi="仿宋" w:eastAsia="仿宋" w:cs="华文仿宋"/>
          <w:sz w:val="32"/>
          <w:szCs w:val="32"/>
        </w:rPr>
      </w:pPr>
      <w:r>
        <w:rPr>
          <w:rFonts w:hint="eastAsia" w:ascii="仿宋" w:hAnsi="仿宋" w:eastAsia="仿宋" w:cs="华文仿宋"/>
          <w:b/>
          <w:sz w:val="32"/>
          <w:szCs w:val="32"/>
        </w:rPr>
        <w:t xml:space="preserve">第九条 </w:t>
      </w:r>
      <w:r>
        <w:rPr>
          <w:rFonts w:hint="eastAsia" w:ascii="仿宋" w:hAnsi="仿宋" w:eastAsia="仿宋" w:cs="华文仿宋"/>
          <w:sz w:val="32"/>
          <w:szCs w:val="32"/>
        </w:rPr>
        <w:t>基金可采用发起设立、增资扩股等方式对机构进行股权投资，原则上不采用股权受让方式。</w:t>
      </w:r>
    </w:p>
    <w:p>
      <w:pPr>
        <w:spacing w:line="540" w:lineRule="exact"/>
        <w:ind w:firstLine="643" w:firstLineChars="200"/>
        <w:jc w:val="center"/>
        <w:rPr>
          <w:rFonts w:ascii="仿宋" w:hAnsi="仿宋" w:eastAsia="仿宋" w:cs="黑体"/>
          <w:b/>
          <w:sz w:val="32"/>
          <w:szCs w:val="32"/>
        </w:rPr>
      </w:pPr>
      <w:r>
        <w:rPr>
          <w:rFonts w:hint="eastAsia" w:ascii="仿宋" w:hAnsi="仿宋" w:eastAsia="仿宋" w:cs="黑体"/>
          <w:b/>
          <w:sz w:val="32"/>
          <w:szCs w:val="32"/>
        </w:rPr>
        <w:t>第三章  投资决策</w:t>
      </w:r>
    </w:p>
    <w:p>
      <w:pPr>
        <w:spacing w:line="540" w:lineRule="exact"/>
        <w:ind w:firstLine="643" w:firstLineChars="200"/>
        <w:rPr>
          <w:rFonts w:ascii="仿宋" w:hAnsi="仿宋" w:eastAsia="仿宋" w:cs="华文仿宋"/>
          <w:sz w:val="32"/>
          <w:szCs w:val="32"/>
        </w:rPr>
      </w:pPr>
      <w:r>
        <w:rPr>
          <w:rFonts w:hint="eastAsia" w:ascii="仿宋" w:hAnsi="仿宋" w:eastAsia="仿宋" w:cs="华文仿宋"/>
          <w:b/>
          <w:sz w:val="32"/>
          <w:szCs w:val="32"/>
        </w:rPr>
        <w:t xml:space="preserve">第十条 </w:t>
      </w:r>
      <w:r>
        <w:rPr>
          <w:rFonts w:hint="eastAsia" w:ascii="仿宋" w:hAnsi="仿宋" w:eastAsia="仿宋" w:cs="华文仿宋"/>
          <w:sz w:val="32"/>
          <w:szCs w:val="32"/>
        </w:rPr>
        <w:t>投资初选。股权业务部根据本办法各项要求和</w:t>
      </w:r>
      <w:r>
        <w:rPr>
          <w:rFonts w:hint="eastAsia" w:ascii="仿宋" w:hAnsi="仿宋" w:eastAsia="仿宋" w:cs="华文仿宋"/>
          <w:bCs/>
          <w:sz w:val="32"/>
          <w:szCs w:val="32"/>
          <w:lang w:val="en-US" w:eastAsia="zh-CN"/>
        </w:rPr>
        <w:t>基金年度股权投资工作安排意见</w:t>
      </w:r>
      <w:r>
        <w:rPr>
          <w:rFonts w:hint="eastAsia" w:ascii="仿宋" w:hAnsi="仿宋" w:eastAsia="仿宋" w:cs="华文仿宋"/>
          <w:sz w:val="32"/>
          <w:szCs w:val="32"/>
        </w:rPr>
        <w:t>，对省属机构进行综合测评，结合业务合作等情况，初选出符合条件的省属机构，上报基金领导集体办公会审议确定年度股权投资考察范围。</w:t>
      </w:r>
    </w:p>
    <w:p>
      <w:pPr>
        <w:spacing w:line="540" w:lineRule="exact"/>
        <w:ind w:firstLine="643" w:firstLineChars="200"/>
        <w:rPr>
          <w:rFonts w:ascii="仿宋" w:hAnsi="仿宋" w:eastAsia="仿宋"/>
          <w:sz w:val="32"/>
          <w:szCs w:val="32"/>
        </w:rPr>
      </w:pPr>
      <w:r>
        <w:rPr>
          <w:rFonts w:hint="eastAsia" w:ascii="仿宋" w:hAnsi="仿宋" w:eastAsia="仿宋" w:cs="华文仿宋"/>
          <w:b/>
          <w:sz w:val="32"/>
          <w:szCs w:val="32"/>
        </w:rPr>
        <w:t xml:space="preserve">第十一条 </w:t>
      </w:r>
      <w:r>
        <w:rPr>
          <w:rFonts w:hint="eastAsia" w:ascii="仿宋" w:hAnsi="仿宋" w:eastAsia="仿宋"/>
          <w:sz w:val="32"/>
          <w:szCs w:val="32"/>
        </w:rPr>
        <w:t>受理申请。股权业务部在投资考察范围内，与相关机构及地方有关部门沟通，就省属机构参与体系建设能力与意愿、投资预期政策目标、拟投资金额及方式、资金支付、特殊条款等投资主要事项初步取得一致意见，初步审核相关省属机构提交的投资申请、拟投资市属机构意见，或推荐意见、托管承诺等。</w:t>
      </w:r>
      <w:r>
        <w:rPr>
          <w:rFonts w:ascii="仿宋" w:hAnsi="仿宋" w:eastAsia="仿宋"/>
          <w:sz w:val="32"/>
          <w:szCs w:val="32"/>
        </w:rPr>
        <w:t xml:space="preserve"> </w:t>
      </w:r>
    </w:p>
    <w:p>
      <w:pPr>
        <w:spacing w:line="540" w:lineRule="exact"/>
        <w:ind w:firstLine="643" w:firstLineChars="200"/>
        <w:rPr>
          <w:rFonts w:ascii="仿宋" w:hAnsi="仿宋" w:eastAsia="仿宋" w:cs="华文仿宋"/>
          <w:sz w:val="32"/>
          <w:szCs w:val="32"/>
        </w:rPr>
      </w:pPr>
      <w:r>
        <w:rPr>
          <w:rFonts w:hint="eastAsia" w:ascii="仿宋" w:hAnsi="仿宋" w:eastAsia="仿宋" w:cs="华文仿宋"/>
          <w:b/>
          <w:sz w:val="32"/>
          <w:szCs w:val="32"/>
        </w:rPr>
        <w:t xml:space="preserve">第十二条 </w:t>
      </w:r>
      <w:r>
        <w:rPr>
          <w:rFonts w:hint="eastAsia" w:ascii="仿宋" w:hAnsi="仿宋" w:eastAsia="仿宋" w:cs="华文仿宋"/>
          <w:sz w:val="32"/>
          <w:szCs w:val="32"/>
        </w:rPr>
        <w:t>尽职调查。股权</w:t>
      </w:r>
      <w:r>
        <w:rPr>
          <w:rFonts w:ascii="仿宋" w:hAnsi="仿宋" w:eastAsia="仿宋" w:cs="华文仿宋"/>
          <w:sz w:val="32"/>
          <w:szCs w:val="32"/>
        </w:rPr>
        <w:t>业务部</w:t>
      </w:r>
      <w:r>
        <w:rPr>
          <w:rFonts w:hint="eastAsia" w:ascii="仿宋" w:hAnsi="仿宋" w:eastAsia="仿宋" w:cs="华文仿宋"/>
          <w:sz w:val="32"/>
          <w:szCs w:val="32"/>
        </w:rPr>
        <w:t>根据经批准的尽职调查方案，根据需要组织相关部门和第三方机构开展投资备选机构</w:t>
      </w:r>
      <w:r>
        <w:rPr>
          <w:rFonts w:ascii="仿宋" w:hAnsi="仿宋" w:eastAsia="仿宋" w:cs="华文仿宋"/>
          <w:sz w:val="32"/>
          <w:szCs w:val="32"/>
        </w:rPr>
        <w:t>尽职调查</w:t>
      </w:r>
      <w:r>
        <w:rPr>
          <w:rFonts w:hint="eastAsia" w:ascii="仿宋" w:hAnsi="仿宋" w:eastAsia="仿宋" w:cs="华文仿宋"/>
          <w:sz w:val="32"/>
          <w:szCs w:val="32"/>
        </w:rPr>
        <w:t>，</w:t>
      </w:r>
      <w:r>
        <w:rPr>
          <w:rFonts w:ascii="仿宋" w:hAnsi="仿宋" w:eastAsia="仿宋" w:cs="华文仿宋"/>
          <w:sz w:val="32"/>
          <w:szCs w:val="32"/>
        </w:rPr>
        <w:t>起草</w:t>
      </w:r>
      <w:r>
        <w:rPr>
          <w:rFonts w:hint="eastAsia" w:ascii="仿宋" w:hAnsi="仿宋" w:eastAsia="仿宋" w:cs="华文仿宋"/>
          <w:sz w:val="32"/>
          <w:szCs w:val="32"/>
        </w:rPr>
        <w:t>尽职调查和投资方案报告。风控合规部对尽职调查和投资方案报告出具独立的风险评估意见。</w:t>
      </w:r>
    </w:p>
    <w:p>
      <w:pPr>
        <w:spacing w:line="540" w:lineRule="exact"/>
        <w:ind w:firstLine="643" w:firstLineChars="200"/>
        <w:rPr>
          <w:rFonts w:ascii="仿宋" w:hAnsi="仿宋" w:eastAsia="仿宋" w:cs="华文仿宋"/>
          <w:sz w:val="32"/>
          <w:szCs w:val="32"/>
        </w:rPr>
      </w:pPr>
      <w:r>
        <w:rPr>
          <w:rFonts w:hint="eastAsia" w:ascii="仿宋" w:hAnsi="仿宋" w:eastAsia="仿宋" w:cs="华文仿宋"/>
          <w:b/>
          <w:sz w:val="32"/>
          <w:szCs w:val="32"/>
        </w:rPr>
        <w:t>第十三条</w:t>
      </w:r>
      <w:r>
        <w:rPr>
          <w:rFonts w:hint="eastAsia" w:ascii="仿宋" w:hAnsi="仿宋" w:eastAsia="仿宋" w:cs="华文仿宋"/>
          <w:sz w:val="32"/>
          <w:szCs w:val="32"/>
        </w:rPr>
        <w:t xml:space="preserve"> 投资决策。基金风险评审委员会对股权业务部提交的尽职调查和投资方案报告、资产评估报告，及风控合规部出具的独立风险评估意见等开展审议，确定拟投资机构和投资金额等事项。审议通过后，股权业务部上报总经理确认。按照“三重一大”有关规定报基金党委会审批决策。</w:t>
      </w:r>
    </w:p>
    <w:p>
      <w:pPr>
        <w:spacing w:line="540" w:lineRule="exact"/>
        <w:ind w:firstLine="643" w:firstLineChars="200"/>
        <w:rPr>
          <w:rFonts w:ascii="仿宋" w:hAnsi="仿宋" w:eastAsia="仿宋"/>
          <w:sz w:val="32"/>
          <w:szCs w:val="32"/>
        </w:rPr>
      </w:pPr>
      <w:r>
        <w:rPr>
          <w:rFonts w:hint="eastAsia" w:ascii="仿宋" w:hAnsi="仿宋" w:eastAsia="仿宋" w:cs="华文仿宋"/>
          <w:b/>
          <w:sz w:val="32"/>
          <w:szCs w:val="32"/>
        </w:rPr>
        <w:t xml:space="preserve">第十四条 </w:t>
      </w:r>
      <w:r>
        <w:rPr>
          <w:rFonts w:hint="eastAsia" w:ascii="仿宋" w:hAnsi="仿宋" w:eastAsia="仿宋" w:cs="华文仿宋"/>
          <w:sz w:val="32"/>
          <w:szCs w:val="32"/>
        </w:rPr>
        <w:t>法律审查和合同签署。股权业务部负责与拟投资机构沟通，起草合同文本，经风控合规部合规性审核后，报分管副总经理、总经理批准。基金</w:t>
      </w:r>
      <w:r>
        <w:rPr>
          <w:rFonts w:hint="eastAsia" w:ascii="仿宋" w:hAnsi="仿宋" w:eastAsia="仿宋"/>
          <w:sz w:val="32"/>
          <w:szCs w:val="32"/>
        </w:rPr>
        <w:t>法人代表或其授权代表与被投资机构签署合同。</w:t>
      </w:r>
      <w:r>
        <w:rPr>
          <w:rFonts w:hint="eastAsia" w:ascii="仿宋" w:hAnsi="仿宋" w:eastAsia="仿宋" w:cs="华文仿宋"/>
          <w:sz w:val="32"/>
          <w:szCs w:val="32"/>
        </w:rPr>
        <w:t>合同内容主要包括：投资规模、交易价格、投资方式、双方权利义务、保护性措施、退出方案、委托管理及后续相关交易安排等。</w:t>
      </w:r>
    </w:p>
    <w:p>
      <w:pPr>
        <w:spacing w:line="540" w:lineRule="exact"/>
        <w:ind w:firstLine="643" w:firstLineChars="200"/>
        <w:rPr>
          <w:rFonts w:ascii="仿宋" w:hAnsi="仿宋" w:eastAsia="仿宋"/>
          <w:sz w:val="32"/>
          <w:szCs w:val="32"/>
        </w:rPr>
      </w:pPr>
      <w:r>
        <w:rPr>
          <w:rFonts w:ascii="仿宋" w:hAnsi="仿宋" w:eastAsia="仿宋"/>
          <w:b/>
          <w:sz w:val="32"/>
          <w:szCs w:val="32"/>
        </w:rPr>
        <w:t>第十</w:t>
      </w:r>
      <w:r>
        <w:rPr>
          <w:rFonts w:hint="eastAsia" w:ascii="仿宋" w:hAnsi="仿宋" w:eastAsia="仿宋"/>
          <w:b/>
          <w:sz w:val="32"/>
          <w:szCs w:val="32"/>
        </w:rPr>
        <w:t>五</w:t>
      </w:r>
      <w:r>
        <w:rPr>
          <w:rFonts w:ascii="仿宋" w:hAnsi="仿宋" w:eastAsia="仿宋"/>
          <w:b/>
          <w:sz w:val="32"/>
          <w:szCs w:val="32"/>
        </w:rPr>
        <w:t>条</w:t>
      </w:r>
      <w:r>
        <w:rPr>
          <w:rFonts w:hint="eastAsia" w:ascii="仿宋" w:hAnsi="仿宋" w:eastAsia="仿宋"/>
          <w:b/>
          <w:sz w:val="32"/>
          <w:szCs w:val="32"/>
        </w:rPr>
        <w:t xml:space="preserve"> </w:t>
      </w:r>
      <w:r>
        <w:rPr>
          <w:rFonts w:hint="eastAsia" w:ascii="仿宋" w:hAnsi="仿宋" w:eastAsia="仿宋"/>
          <w:sz w:val="32"/>
          <w:szCs w:val="32"/>
        </w:rPr>
        <w:t>资金划转。财务管理部根据合同约定，向被投资机构划转投资款，收取被投资机构出具的股权证明或出资证明书。资金拨付可以采取累进方式，与考核结果挂钩，实现预期目标后，及时拨付后续资金。</w:t>
      </w:r>
    </w:p>
    <w:p>
      <w:pPr>
        <w:spacing w:line="540" w:lineRule="exact"/>
        <w:ind w:firstLine="643" w:firstLineChars="200"/>
        <w:rPr>
          <w:rFonts w:ascii="仿宋" w:hAnsi="仿宋" w:eastAsia="仿宋"/>
          <w:sz w:val="32"/>
          <w:szCs w:val="32"/>
        </w:rPr>
      </w:pPr>
      <w:r>
        <w:rPr>
          <w:rFonts w:ascii="仿宋" w:hAnsi="仿宋" w:eastAsia="仿宋"/>
          <w:b/>
          <w:sz w:val="32"/>
          <w:szCs w:val="32"/>
        </w:rPr>
        <w:t>第十</w:t>
      </w:r>
      <w:r>
        <w:rPr>
          <w:rFonts w:hint="eastAsia" w:ascii="仿宋" w:hAnsi="仿宋" w:eastAsia="仿宋"/>
          <w:b/>
          <w:sz w:val="32"/>
          <w:szCs w:val="32"/>
        </w:rPr>
        <w:t>六</w:t>
      </w:r>
      <w:r>
        <w:rPr>
          <w:rFonts w:ascii="仿宋" w:hAnsi="仿宋" w:eastAsia="仿宋"/>
          <w:b/>
          <w:sz w:val="32"/>
          <w:szCs w:val="32"/>
        </w:rPr>
        <w:t>条</w:t>
      </w:r>
      <w:r>
        <w:rPr>
          <w:rFonts w:hint="eastAsia" w:ascii="仿宋" w:hAnsi="仿宋" w:eastAsia="仿宋"/>
          <w:b/>
          <w:sz w:val="32"/>
          <w:szCs w:val="32"/>
        </w:rPr>
        <w:t xml:space="preserve"> </w:t>
      </w:r>
      <w:r>
        <w:rPr>
          <w:rFonts w:hint="eastAsia" w:ascii="仿宋" w:hAnsi="仿宋" w:eastAsia="仿宋"/>
          <w:sz w:val="32"/>
          <w:szCs w:val="32"/>
        </w:rPr>
        <w:t>工商变更。股权业务部协助被投资机构完成工商登记或变更，并根据国有资产管理法律法规规定，完成国有法人股备案。</w:t>
      </w:r>
    </w:p>
    <w:p>
      <w:pPr>
        <w:spacing w:before="156" w:beforeLines="50" w:after="156" w:afterLines="50" w:line="540" w:lineRule="exact"/>
        <w:jc w:val="center"/>
        <w:rPr>
          <w:rFonts w:ascii="仿宋" w:hAnsi="仿宋" w:eastAsia="仿宋" w:cs="黑体"/>
          <w:b/>
          <w:sz w:val="32"/>
          <w:szCs w:val="32"/>
        </w:rPr>
      </w:pPr>
      <w:r>
        <w:rPr>
          <w:rFonts w:ascii="仿宋" w:hAnsi="仿宋" w:eastAsia="仿宋" w:cs="黑体"/>
          <w:b/>
          <w:sz w:val="32"/>
          <w:szCs w:val="32"/>
        </w:rPr>
        <w:t>第</w:t>
      </w:r>
      <w:r>
        <w:rPr>
          <w:rFonts w:hint="eastAsia" w:ascii="仿宋" w:hAnsi="仿宋" w:eastAsia="仿宋" w:cs="黑体"/>
          <w:b/>
          <w:sz w:val="32"/>
          <w:szCs w:val="32"/>
        </w:rPr>
        <w:t>四</w:t>
      </w:r>
      <w:r>
        <w:rPr>
          <w:rFonts w:ascii="仿宋" w:hAnsi="仿宋" w:eastAsia="仿宋" w:cs="黑体"/>
          <w:b/>
          <w:sz w:val="32"/>
          <w:szCs w:val="32"/>
        </w:rPr>
        <w:t>章</w:t>
      </w:r>
      <w:r>
        <w:rPr>
          <w:rFonts w:hint="eastAsia" w:ascii="仿宋" w:hAnsi="仿宋" w:eastAsia="仿宋" w:cs="黑体"/>
          <w:b/>
          <w:sz w:val="32"/>
          <w:szCs w:val="32"/>
        </w:rPr>
        <w:t xml:space="preserve"> 投后管理和风险控制</w:t>
      </w:r>
    </w:p>
    <w:p>
      <w:pPr>
        <w:pStyle w:val="3"/>
        <w:spacing w:line="540" w:lineRule="exact"/>
        <w:ind w:firstLine="643" w:firstLineChars="200"/>
        <w:rPr>
          <w:rFonts w:ascii="仿宋" w:hAnsi="仿宋" w:eastAsia="仿宋" w:cstheme="minorBidi"/>
          <w:sz w:val="32"/>
          <w:szCs w:val="32"/>
        </w:rPr>
      </w:pPr>
      <w:r>
        <w:rPr>
          <w:rFonts w:hint="eastAsia" w:ascii="仿宋" w:hAnsi="仿宋" w:eastAsia="仿宋" w:cs="华文仿宋"/>
          <w:b/>
          <w:sz w:val="32"/>
          <w:szCs w:val="32"/>
        </w:rPr>
        <w:t xml:space="preserve">第十七条 </w:t>
      </w:r>
      <w:r>
        <w:rPr>
          <w:rFonts w:hint="eastAsia" w:ascii="仿宋" w:hAnsi="仿宋" w:eastAsia="仿宋" w:cstheme="minorBidi"/>
          <w:sz w:val="32"/>
          <w:szCs w:val="32"/>
        </w:rPr>
        <w:t>股权业务部牵头负责投后管理工作，会同基金相关部门及委托管理机构等，监督被投资机构资金使用和政策性目标实现情况，从事以下工作：</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theme="minorBidi"/>
          <w:sz w:val="32"/>
          <w:szCs w:val="32"/>
        </w:rPr>
        <w:t>（一）建立定期报告制度。督促被投资机构或委托管理机构向基金定期报告</w:t>
      </w:r>
      <w:r>
        <w:rPr>
          <w:rFonts w:hint="eastAsia" w:ascii="仿宋" w:hAnsi="仿宋" w:eastAsia="仿宋" w:cs="华文仿宋"/>
          <w:sz w:val="32"/>
          <w:szCs w:val="32"/>
        </w:rPr>
        <w:t>主要经营情况，及时报告重大事项及应急事项等。股权业务部在综合评估基础上形成投后管理报告</w:t>
      </w:r>
      <w:r>
        <w:rPr>
          <w:rFonts w:ascii="仿宋" w:hAnsi="仿宋" w:eastAsia="仿宋" w:cs="华文仿宋"/>
          <w:sz w:val="32"/>
          <w:szCs w:val="32"/>
        </w:rPr>
        <w:t>。</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（二）不定期开展检查。股权业务部会同风控合规部、视情况组织委托管理机构对被投资机构等开展不定期检查，及时向基金报告被投资机构等经营中存在的风险和隐患，提出处理意见并跟进落实。</w:t>
      </w:r>
    </w:p>
    <w:p>
      <w:pPr>
        <w:pStyle w:val="3"/>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（三）行使股东相关权利。根据合同约定，股权业务部负责按照基金授权，组织行使股东相关权利，包括但不限于参与重大决策、委派董事（股权代表）、组织董事（股权代表）参加被投资机构重要会议等。</w:t>
      </w:r>
    </w:p>
    <w:p>
      <w:pPr>
        <w:pStyle w:val="3"/>
        <w:spacing w:line="540" w:lineRule="exact"/>
        <w:ind w:firstLine="643" w:firstLineChars="200"/>
        <w:rPr>
          <w:rFonts w:cs="华文仿宋"/>
        </w:rPr>
      </w:pPr>
      <w:r>
        <w:rPr>
          <w:rFonts w:hint="eastAsia" w:ascii="仿宋" w:hAnsi="仿宋" w:eastAsia="仿宋" w:cs="华文仿宋"/>
          <w:b/>
          <w:sz w:val="32"/>
          <w:szCs w:val="32"/>
        </w:rPr>
        <w:t xml:space="preserve">第十八条 </w:t>
      </w:r>
      <w:r>
        <w:rPr>
          <w:rFonts w:hint="eastAsia" w:ascii="仿宋" w:hAnsi="仿宋" w:eastAsia="仿宋" w:cs="华文仿宋"/>
          <w:sz w:val="32"/>
          <w:szCs w:val="32"/>
        </w:rPr>
        <w:t>被投资机构出现以下情形之一的，基金有权按照合同约定，采取相应措施，包括要求控股股东等以不低于基金投资金额受买基金股权等。</w:t>
      </w:r>
    </w:p>
    <w:p>
      <w:pPr>
        <w:shd w:val="clear" w:color="auto" w:fill="FFFFFF"/>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（一）严重违背投资约定的；</w:t>
      </w:r>
      <w:r>
        <w:rPr>
          <w:rFonts w:hint="eastAsia" w:ascii="仿宋" w:hAnsi="仿宋" w:eastAsia="仿宋"/>
          <w:sz w:val="32"/>
          <w:szCs w:val="32"/>
        </w:rPr>
        <w:t xml:space="preserve"> </w:t>
      </w:r>
    </w:p>
    <w:p>
      <w:pPr>
        <w:shd w:val="clear" w:color="auto" w:fill="FFFFFF"/>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（二）阻碍基金</w:t>
      </w:r>
      <w:r>
        <w:rPr>
          <w:rFonts w:hint="eastAsia" w:ascii="仿宋" w:hAnsi="仿宋" w:eastAsia="仿宋" w:cs="华文仿宋"/>
          <w:sz w:val="32"/>
          <w:szCs w:val="32"/>
          <w:lang w:val="en-US" w:eastAsia="zh-CN"/>
        </w:rPr>
        <w:t>行使</w:t>
      </w:r>
      <w:r>
        <w:rPr>
          <w:rFonts w:hint="eastAsia" w:ascii="仿宋" w:hAnsi="仿宋" w:eastAsia="仿宋" w:cs="华文仿宋"/>
          <w:sz w:val="32"/>
          <w:szCs w:val="32"/>
        </w:rPr>
        <w:t>股东权利的；</w:t>
      </w:r>
    </w:p>
    <w:p>
      <w:pPr>
        <w:shd w:val="clear" w:color="auto" w:fill="FFFFFF"/>
        <w:spacing w:line="540" w:lineRule="exact"/>
        <w:ind w:firstLine="640" w:firstLineChars="200"/>
        <w:rPr>
          <w:rFonts w:ascii="仿宋" w:hAnsi="仿宋" w:eastAsia="仿宋"/>
          <w:sz w:val="32"/>
          <w:szCs w:val="32"/>
        </w:rPr>
      </w:pPr>
      <w:r>
        <w:rPr>
          <w:rFonts w:hint="eastAsia" w:ascii="仿宋" w:hAnsi="仿宋" w:eastAsia="仿宋" w:cs="华文仿宋"/>
          <w:sz w:val="32"/>
          <w:szCs w:val="32"/>
        </w:rPr>
        <w:t>（三）</w:t>
      </w:r>
      <w:r>
        <w:rPr>
          <w:rFonts w:hint="eastAsia" w:ascii="仿宋" w:hAnsi="仿宋" w:eastAsia="仿宋"/>
          <w:sz w:val="32"/>
          <w:szCs w:val="32"/>
        </w:rPr>
        <w:t>向基金报送虚假材料的</w:t>
      </w:r>
      <w:r>
        <w:rPr>
          <w:rFonts w:hint="eastAsia" w:ascii="仿宋" w:hAnsi="仿宋" w:eastAsia="仿宋" w:cs="华文仿宋"/>
          <w:sz w:val="32"/>
          <w:szCs w:val="32"/>
        </w:rPr>
        <w:t>；</w:t>
      </w:r>
    </w:p>
    <w:p>
      <w:pPr>
        <w:shd w:val="clear" w:color="auto" w:fill="FFFFFF"/>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（四）投后出现本办法第八条列示情形的。</w:t>
      </w:r>
    </w:p>
    <w:p>
      <w:pPr>
        <w:shd w:val="clear" w:color="auto" w:fill="FFFFFF"/>
        <w:spacing w:line="540" w:lineRule="exact"/>
        <w:ind w:firstLine="643" w:firstLineChars="200"/>
        <w:rPr>
          <w:rFonts w:ascii="仿宋" w:hAnsi="仿宋" w:eastAsia="仿宋" w:cs="华文仿宋"/>
          <w:sz w:val="32"/>
          <w:szCs w:val="32"/>
        </w:rPr>
      </w:pPr>
      <w:r>
        <w:rPr>
          <w:rFonts w:hint="eastAsia" w:ascii="仿宋" w:hAnsi="仿宋" w:eastAsia="仿宋" w:cs="华文仿宋"/>
          <w:b/>
          <w:sz w:val="32"/>
          <w:szCs w:val="32"/>
        </w:rPr>
        <w:t>第十九条</w:t>
      </w:r>
      <w:r>
        <w:rPr>
          <w:rFonts w:hint="eastAsia" w:ascii="仿宋" w:hAnsi="仿宋" w:eastAsia="仿宋" w:cs="华文仿宋"/>
          <w:sz w:val="32"/>
          <w:szCs w:val="32"/>
        </w:rPr>
        <w:t xml:space="preserve"> 省属机构基于基金股权投资，继续向辖内市属机构投资的，应督促其发挥政策性作用、合规经营，并与相关市属机构就保护性措施、退出情形等重要事项予以约定。如有触发退出约定情形的，省属机构应与基金协商处理，对撤资进行妥善安排。</w:t>
      </w:r>
    </w:p>
    <w:p>
      <w:pPr>
        <w:pStyle w:val="3"/>
        <w:spacing w:line="540" w:lineRule="exact"/>
        <w:ind w:firstLine="643" w:firstLineChars="200"/>
        <w:rPr>
          <w:rFonts w:ascii="仿宋" w:hAnsi="仿宋" w:eastAsia="仿宋" w:cs="仿宋_GB2312"/>
          <w:sz w:val="32"/>
          <w:szCs w:val="32"/>
        </w:rPr>
      </w:pPr>
      <w:r>
        <w:rPr>
          <w:rFonts w:hint="eastAsia" w:ascii="仿宋" w:hAnsi="仿宋" w:eastAsia="仿宋" w:cs="华文仿宋"/>
          <w:b/>
          <w:sz w:val="32"/>
          <w:szCs w:val="32"/>
        </w:rPr>
        <w:t>第</w:t>
      </w:r>
      <w:r>
        <w:rPr>
          <w:rFonts w:ascii="仿宋" w:hAnsi="仿宋" w:eastAsia="仿宋" w:cs="华文仿宋"/>
          <w:b/>
          <w:sz w:val="32"/>
          <w:szCs w:val="32"/>
        </w:rPr>
        <w:t>二十</w:t>
      </w:r>
      <w:r>
        <w:rPr>
          <w:rFonts w:hint="eastAsia" w:ascii="仿宋" w:hAnsi="仿宋" w:eastAsia="仿宋" w:cs="华文仿宋"/>
          <w:b/>
          <w:sz w:val="32"/>
          <w:szCs w:val="32"/>
        </w:rPr>
        <w:t xml:space="preserve">条 </w:t>
      </w:r>
      <w:r>
        <w:rPr>
          <w:rFonts w:hint="eastAsia" w:ascii="仿宋" w:hAnsi="仿宋" w:eastAsia="仿宋" w:cs="华文仿宋"/>
          <w:bCs/>
          <w:sz w:val="32"/>
          <w:szCs w:val="32"/>
        </w:rPr>
        <w:t>基金可视</w:t>
      </w:r>
      <w:r>
        <w:rPr>
          <w:rFonts w:hint="eastAsia" w:ascii="仿宋" w:hAnsi="仿宋" w:eastAsia="仿宋" w:cs="仿宋_GB2312"/>
          <w:sz w:val="32"/>
          <w:szCs w:val="32"/>
        </w:rPr>
        <w:t>体系建设和经营管理需要，以持有的市属机构股权投资于相关省属机构，逐步理顺与省属机构、相关市属机构的股权和管理关系。</w:t>
      </w:r>
    </w:p>
    <w:p>
      <w:pPr>
        <w:pStyle w:val="3"/>
        <w:spacing w:line="540" w:lineRule="exact"/>
        <w:ind w:firstLine="643" w:firstLineChars="200"/>
        <w:rPr>
          <w:rFonts w:ascii="仿宋" w:hAnsi="仿宋" w:eastAsia="仿宋" w:cs="华文仿宋"/>
          <w:b/>
          <w:sz w:val="32"/>
          <w:szCs w:val="32"/>
        </w:rPr>
      </w:pPr>
      <w:r>
        <w:rPr>
          <w:rFonts w:hint="eastAsia" w:ascii="仿宋" w:hAnsi="仿宋" w:eastAsia="仿宋" w:cs="华文仿宋"/>
          <w:b/>
          <w:sz w:val="32"/>
          <w:szCs w:val="32"/>
        </w:rPr>
        <w:t xml:space="preserve">第二十一条 </w:t>
      </w:r>
      <w:r>
        <w:rPr>
          <w:rFonts w:hint="eastAsia" w:ascii="仿宋" w:hAnsi="仿宋" w:eastAsia="仿宋" w:cs="华文仿宋"/>
          <w:bCs/>
          <w:sz w:val="32"/>
          <w:szCs w:val="32"/>
        </w:rPr>
        <w:t>股权业务部负责建立和管理股权投资业务档案。对基金投资决策、合同签署和投后管理等工作中形成的尽职调查报告、资产评估报告、审计报告、投资合同、重要会议</w:t>
      </w:r>
      <w:r>
        <w:rPr>
          <w:rFonts w:hint="eastAsia" w:ascii="仿宋" w:hAnsi="仿宋" w:eastAsia="仿宋" w:cs="华文仿宋"/>
          <w:bCs/>
          <w:sz w:val="32"/>
          <w:szCs w:val="32"/>
          <w:lang w:val="en-US" w:eastAsia="zh-CN"/>
        </w:rPr>
        <w:t>记</w:t>
      </w:r>
      <w:r>
        <w:rPr>
          <w:rFonts w:hint="eastAsia" w:ascii="仿宋" w:hAnsi="仿宋" w:eastAsia="仿宋" w:cs="华文仿宋"/>
          <w:bCs/>
          <w:sz w:val="32"/>
          <w:szCs w:val="32"/>
        </w:rPr>
        <w:t>录等相关文件和重要资料，及时进行整理，归档入卷，以备检查。</w:t>
      </w:r>
    </w:p>
    <w:p>
      <w:pPr>
        <w:spacing w:before="156" w:beforeLines="50" w:after="156" w:afterLines="50" w:line="540" w:lineRule="exact"/>
        <w:jc w:val="center"/>
        <w:rPr>
          <w:rFonts w:ascii="仿宋" w:hAnsi="仿宋" w:eastAsia="仿宋" w:cs="黑体"/>
          <w:b/>
          <w:sz w:val="32"/>
          <w:szCs w:val="32"/>
        </w:rPr>
      </w:pPr>
      <w:r>
        <w:rPr>
          <w:rFonts w:ascii="仿宋" w:hAnsi="仿宋" w:eastAsia="仿宋" w:cs="黑体"/>
          <w:b/>
          <w:sz w:val="32"/>
          <w:szCs w:val="32"/>
        </w:rPr>
        <w:t>第</w:t>
      </w:r>
      <w:r>
        <w:rPr>
          <w:rFonts w:hint="eastAsia" w:ascii="仿宋" w:hAnsi="仿宋" w:eastAsia="仿宋" w:cs="黑体"/>
          <w:b/>
          <w:sz w:val="32"/>
          <w:szCs w:val="32"/>
        </w:rPr>
        <w:t>五</w:t>
      </w:r>
      <w:r>
        <w:rPr>
          <w:rFonts w:ascii="仿宋" w:hAnsi="仿宋" w:eastAsia="仿宋" w:cs="黑体"/>
          <w:b/>
          <w:sz w:val="32"/>
          <w:szCs w:val="32"/>
        </w:rPr>
        <w:t>章 附 则</w:t>
      </w:r>
    </w:p>
    <w:p>
      <w:pPr>
        <w:pStyle w:val="3"/>
        <w:spacing w:line="540" w:lineRule="exact"/>
        <w:ind w:firstLine="643" w:firstLineChars="200"/>
        <w:rPr>
          <w:rFonts w:ascii="仿宋" w:hAnsi="仿宋" w:eastAsia="仿宋" w:cs="华文仿宋"/>
          <w:sz w:val="32"/>
          <w:szCs w:val="32"/>
        </w:rPr>
      </w:pPr>
      <w:r>
        <w:rPr>
          <w:rFonts w:hint="eastAsia" w:ascii="仿宋" w:hAnsi="仿宋" w:eastAsia="仿宋" w:cs="华文仿宋"/>
          <w:b/>
          <w:bCs/>
          <w:sz w:val="32"/>
          <w:szCs w:val="32"/>
        </w:rPr>
        <w:t>第</w:t>
      </w:r>
      <w:r>
        <w:rPr>
          <w:rFonts w:ascii="仿宋" w:hAnsi="仿宋" w:eastAsia="仿宋" w:cs="华文仿宋"/>
          <w:b/>
          <w:bCs/>
          <w:sz w:val="32"/>
          <w:szCs w:val="32"/>
        </w:rPr>
        <w:t>二十</w:t>
      </w:r>
      <w:r>
        <w:rPr>
          <w:rFonts w:hint="eastAsia" w:ascii="仿宋" w:hAnsi="仿宋" w:eastAsia="仿宋" w:cs="华文仿宋"/>
          <w:b/>
          <w:bCs/>
          <w:sz w:val="32"/>
          <w:szCs w:val="32"/>
        </w:rPr>
        <w:t xml:space="preserve">二条 </w:t>
      </w:r>
      <w:r>
        <w:rPr>
          <w:rFonts w:hint="eastAsia" w:ascii="仿宋" w:hAnsi="仿宋" w:eastAsia="仿宋" w:cs="华文仿宋"/>
          <w:sz w:val="32"/>
          <w:szCs w:val="32"/>
        </w:rPr>
        <w:t>基金参与股权投资业务的部门和人员，应严格遵守基金规章制度，遵循相关职业道德和行为规范，勤勉工作，忠于职守，接受监督检查。对违反基金有关规定，视情节给予有关责任人员警告、通报批评；构成犯罪的，移交司法机关追究刑事责任。</w:t>
      </w:r>
    </w:p>
    <w:p>
      <w:pPr>
        <w:pStyle w:val="3"/>
        <w:spacing w:line="540" w:lineRule="exact"/>
        <w:ind w:firstLine="643" w:firstLineChars="200"/>
        <w:rPr>
          <w:rFonts w:ascii="仿宋" w:hAnsi="仿宋" w:eastAsia="仿宋" w:cs="华文仿宋"/>
          <w:sz w:val="32"/>
          <w:szCs w:val="32"/>
        </w:rPr>
      </w:pPr>
      <w:r>
        <w:rPr>
          <w:rFonts w:ascii="仿宋" w:hAnsi="仿宋" w:eastAsia="仿宋" w:cs="华文仿宋"/>
          <w:b/>
          <w:sz w:val="32"/>
          <w:szCs w:val="32"/>
        </w:rPr>
        <w:t>第二十</w:t>
      </w:r>
      <w:r>
        <w:rPr>
          <w:rFonts w:hint="eastAsia" w:ascii="仿宋" w:hAnsi="仿宋" w:eastAsia="仿宋" w:cs="华文仿宋"/>
          <w:b/>
          <w:sz w:val="32"/>
          <w:szCs w:val="32"/>
        </w:rPr>
        <w:t>三</w:t>
      </w:r>
      <w:r>
        <w:rPr>
          <w:rFonts w:ascii="仿宋" w:hAnsi="仿宋" w:eastAsia="仿宋" w:cs="华文仿宋"/>
          <w:b/>
          <w:sz w:val="32"/>
          <w:szCs w:val="32"/>
        </w:rPr>
        <w:t>条</w:t>
      </w:r>
      <w:r>
        <w:rPr>
          <w:rFonts w:hint="eastAsia" w:ascii="仿宋" w:hAnsi="仿宋" w:eastAsia="仿宋" w:cs="华文仿宋"/>
          <w:b/>
          <w:sz w:val="32"/>
          <w:szCs w:val="32"/>
        </w:rPr>
        <w:t xml:space="preserve"> </w:t>
      </w:r>
      <w:r>
        <w:rPr>
          <w:rFonts w:ascii="仿宋" w:hAnsi="仿宋" w:eastAsia="仿宋" w:cs="华文仿宋"/>
          <w:sz w:val="32"/>
          <w:szCs w:val="32"/>
        </w:rPr>
        <w:t>本办法由</w:t>
      </w:r>
      <w:r>
        <w:rPr>
          <w:rFonts w:hint="eastAsia" w:ascii="仿宋" w:hAnsi="仿宋" w:eastAsia="仿宋" w:cs="华文仿宋"/>
          <w:sz w:val="32"/>
          <w:szCs w:val="32"/>
        </w:rPr>
        <w:t>基金</w:t>
      </w:r>
      <w:r>
        <w:rPr>
          <w:rFonts w:ascii="仿宋" w:hAnsi="仿宋" w:eastAsia="仿宋" w:cs="华文仿宋"/>
          <w:sz w:val="32"/>
          <w:szCs w:val="32"/>
        </w:rPr>
        <w:t>负责解释，自</w:t>
      </w:r>
      <w:r>
        <w:rPr>
          <w:rFonts w:hint="eastAsia" w:ascii="仿宋" w:hAnsi="仿宋" w:eastAsia="仿宋" w:cs="华文仿宋"/>
          <w:sz w:val="32"/>
          <w:szCs w:val="32"/>
        </w:rPr>
        <w:t>印发</w:t>
      </w:r>
      <w:r>
        <w:rPr>
          <w:rFonts w:ascii="仿宋" w:hAnsi="仿宋" w:eastAsia="仿宋" w:cs="华文仿宋"/>
          <w:sz w:val="32"/>
          <w:szCs w:val="32"/>
        </w:rPr>
        <w:t>之日起</w:t>
      </w:r>
      <w:r>
        <w:rPr>
          <w:rFonts w:hint="eastAsia" w:ascii="仿宋" w:hAnsi="仿宋" w:eastAsia="仿宋" w:cs="华文仿宋"/>
          <w:sz w:val="32"/>
          <w:szCs w:val="32"/>
        </w:rPr>
        <w:t>施行</w:t>
      </w:r>
      <w:r>
        <w:rPr>
          <w:rFonts w:ascii="仿宋" w:hAnsi="仿宋" w:eastAsia="仿宋" w:cs="华文仿宋"/>
          <w:sz w:val="32"/>
          <w:szCs w:val="32"/>
        </w:rPr>
        <w:t>。</w:t>
      </w:r>
    </w:p>
    <w:p>
      <w:pPr>
        <w:pStyle w:val="3"/>
        <w:spacing w:line="540" w:lineRule="exact"/>
        <w:ind w:firstLine="640" w:firstLineChars="200"/>
        <w:rPr>
          <w:rFonts w:ascii="仿宋" w:hAnsi="仿宋" w:eastAsia="仿宋" w:cs="华文仿宋"/>
          <w:sz w:val="32"/>
          <w:szCs w:val="32"/>
        </w:rPr>
      </w:pPr>
    </w:p>
    <w:bookmarkEnd w:id="0"/>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733293"/>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B6"/>
    <w:rsid w:val="00002C6A"/>
    <w:rsid w:val="00003CF2"/>
    <w:rsid w:val="00037AC2"/>
    <w:rsid w:val="00042934"/>
    <w:rsid w:val="00042D38"/>
    <w:rsid w:val="00043BA3"/>
    <w:rsid w:val="0004693B"/>
    <w:rsid w:val="000527A4"/>
    <w:rsid w:val="0006454F"/>
    <w:rsid w:val="00073692"/>
    <w:rsid w:val="000840DB"/>
    <w:rsid w:val="00084A9B"/>
    <w:rsid w:val="000850F7"/>
    <w:rsid w:val="000B35D4"/>
    <w:rsid w:val="000B7A34"/>
    <w:rsid w:val="000D1107"/>
    <w:rsid w:val="000D6432"/>
    <w:rsid w:val="000F246E"/>
    <w:rsid w:val="000F3467"/>
    <w:rsid w:val="001021A8"/>
    <w:rsid w:val="00104372"/>
    <w:rsid w:val="0011358E"/>
    <w:rsid w:val="00113EB5"/>
    <w:rsid w:val="00127FD3"/>
    <w:rsid w:val="00134A87"/>
    <w:rsid w:val="00145B42"/>
    <w:rsid w:val="00161C6B"/>
    <w:rsid w:val="0017255C"/>
    <w:rsid w:val="00172D88"/>
    <w:rsid w:val="00184C20"/>
    <w:rsid w:val="001965D9"/>
    <w:rsid w:val="001A181F"/>
    <w:rsid w:val="001A63DC"/>
    <w:rsid w:val="001B7593"/>
    <w:rsid w:val="001C0C2F"/>
    <w:rsid w:val="001C1C2F"/>
    <w:rsid w:val="001C4F26"/>
    <w:rsid w:val="001E0DF9"/>
    <w:rsid w:val="001E2D5A"/>
    <w:rsid w:val="001F370A"/>
    <w:rsid w:val="001F62BA"/>
    <w:rsid w:val="0020203D"/>
    <w:rsid w:val="0024002F"/>
    <w:rsid w:val="002400B0"/>
    <w:rsid w:val="002417E6"/>
    <w:rsid w:val="0024509C"/>
    <w:rsid w:val="00247230"/>
    <w:rsid w:val="00255D91"/>
    <w:rsid w:val="002618F5"/>
    <w:rsid w:val="00265DC0"/>
    <w:rsid w:val="00277313"/>
    <w:rsid w:val="0028444D"/>
    <w:rsid w:val="00286EC5"/>
    <w:rsid w:val="0029696D"/>
    <w:rsid w:val="002A1355"/>
    <w:rsid w:val="002A17E7"/>
    <w:rsid w:val="002D01E5"/>
    <w:rsid w:val="002D0A62"/>
    <w:rsid w:val="002D6B97"/>
    <w:rsid w:val="002D7BA5"/>
    <w:rsid w:val="002D7EB1"/>
    <w:rsid w:val="002E69F4"/>
    <w:rsid w:val="002F4947"/>
    <w:rsid w:val="0030175D"/>
    <w:rsid w:val="00303A0E"/>
    <w:rsid w:val="003166BC"/>
    <w:rsid w:val="003175FA"/>
    <w:rsid w:val="00326041"/>
    <w:rsid w:val="003272BC"/>
    <w:rsid w:val="00331701"/>
    <w:rsid w:val="00340897"/>
    <w:rsid w:val="00346CFC"/>
    <w:rsid w:val="00351218"/>
    <w:rsid w:val="003651F6"/>
    <w:rsid w:val="003800BA"/>
    <w:rsid w:val="00391FB2"/>
    <w:rsid w:val="003B1A17"/>
    <w:rsid w:val="003D6E8F"/>
    <w:rsid w:val="003D7948"/>
    <w:rsid w:val="003E152B"/>
    <w:rsid w:val="003E7360"/>
    <w:rsid w:val="003F4516"/>
    <w:rsid w:val="004107F2"/>
    <w:rsid w:val="00411CF4"/>
    <w:rsid w:val="0041235C"/>
    <w:rsid w:val="00422725"/>
    <w:rsid w:val="0043567D"/>
    <w:rsid w:val="004420D6"/>
    <w:rsid w:val="00445736"/>
    <w:rsid w:val="004535E9"/>
    <w:rsid w:val="00455552"/>
    <w:rsid w:val="004637C9"/>
    <w:rsid w:val="00463D09"/>
    <w:rsid w:val="004712AA"/>
    <w:rsid w:val="00486058"/>
    <w:rsid w:val="004951CB"/>
    <w:rsid w:val="004A2C08"/>
    <w:rsid w:val="004A3A94"/>
    <w:rsid w:val="004B035E"/>
    <w:rsid w:val="004B0D57"/>
    <w:rsid w:val="004C6A70"/>
    <w:rsid w:val="004D2E57"/>
    <w:rsid w:val="004D6066"/>
    <w:rsid w:val="004D649F"/>
    <w:rsid w:val="004E1643"/>
    <w:rsid w:val="004F2AC2"/>
    <w:rsid w:val="004F579F"/>
    <w:rsid w:val="004F6EF4"/>
    <w:rsid w:val="005001CE"/>
    <w:rsid w:val="005115E3"/>
    <w:rsid w:val="00513717"/>
    <w:rsid w:val="00516849"/>
    <w:rsid w:val="00526CF0"/>
    <w:rsid w:val="00533BD4"/>
    <w:rsid w:val="00542A49"/>
    <w:rsid w:val="00566F26"/>
    <w:rsid w:val="00572A4D"/>
    <w:rsid w:val="00573DCE"/>
    <w:rsid w:val="00574DB6"/>
    <w:rsid w:val="0058054B"/>
    <w:rsid w:val="00583924"/>
    <w:rsid w:val="005918E5"/>
    <w:rsid w:val="005966E6"/>
    <w:rsid w:val="005A6531"/>
    <w:rsid w:val="005A6F03"/>
    <w:rsid w:val="005C238B"/>
    <w:rsid w:val="005C77BA"/>
    <w:rsid w:val="005D4CB5"/>
    <w:rsid w:val="005D6B09"/>
    <w:rsid w:val="005E09D7"/>
    <w:rsid w:val="005E1604"/>
    <w:rsid w:val="005E25C4"/>
    <w:rsid w:val="005F0CEB"/>
    <w:rsid w:val="005F2EFE"/>
    <w:rsid w:val="0060313E"/>
    <w:rsid w:val="0060453E"/>
    <w:rsid w:val="006053A4"/>
    <w:rsid w:val="0061105F"/>
    <w:rsid w:val="00626F54"/>
    <w:rsid w:val="006356A1"/>
    <w:rsid w:val="006371AE"/>
    <w:rsid w:val="00640537"/>
    <w:rsid w:val="00642C59"/>
    <w:rsid w:val="00646F8D"/>
    <w:rsid w:val="00654DB3"/>
    <w:rsid w:val="00675C88"/>
    <w:rsid w:val="0069134C"/>
    <w:rsid w:val="00697D5D"/>
    <w:rsid w:val="00697D9B"/>
    <w:rsid w:val="006A53A9"/>
    <w:rsid w:val="006A5840"/>
    <w:rsid w:val="006A787A"/>
    <w:rsid w:val="006B036C"/>
    <w:rsid w:val="006C1A89"/>
    <w:rsid w:val="006C22FB"/>
    <w:rsid w:val="0072140C"/>
    <w:rsid w:val="00727290"/>
    <w:rsid w:val="00737FB8"/>
    <w:rsid w:val="00752A2D"/>
    <w:rsid w:val="007561B6"/>
    <w:rsid w:val="00763F09"/>
    <w:rsid w:val="00766485"/>
    <w:rsid w:val="0078477C"/>
    <w:rsid w:val="00784987"/>
    <w:rsid w:val="00795BA6"/>
    <w:rsid w:val="00796C25"/>
    <w:rsid w:val="007A1881"/>
    <w:rsid w:val="007A2BC5"/>
    <w:rsid w:val="007B0366"/>
    <w:rsid w:val="007B4629"/>
    <w:rsid w:val="007B558D"/>
    <w:rsid w:val="007C47B5"/>
    <w:rsid w:val="007C4CB3"/>
    <w:rsid w:val="007C5F85"/>
    <w:rsid w:val="007D7152"/>
    <w:rsid w:val="007D7D30"/>
    <w:rsid w:val="007E5BB9"/>
    <w:rsid w:val="007E790F"/>
    <w:rsid w:val="007F3016"/>
    <w:rsid w:val="0080508D"/>
    <w:rsid w:val="008067B8"/>
    <w:rsid w:val="0081423D"/>
    <w:rsid w:val="008176C0"/>
    <w:rsid w:val="00822087"/>
    <w:rsid w:val="0083025F"/>
    <w:rsid w:val="00830C72"/>
    <w:rsid w:val="00846023"/>
    <w:rsid w:val="008524C6"/>
    <w:rsid w:val="00861472"/>
    <w:rsid w:val="0086165E"/>
    <w:rsid w:val="00864747"/>
    <w:rsid w:val="00875739"/>
    <w:rsid w:val="00882487"/>
    <w:rsid w:val="00885F49"/>
    <w:rsid w:val="0089550C"/>
    <w:rsid w:val="008A3C6B"/>
    <w:rsid w:val="008A42A8"/>
    <w:rsid w:val="008C4052"/>
    <w:rsid w:val="008D3B70"/>
    <w:rsid w:val="00902BFA"/>
    <w:rsid w:val="00905193"/>
    <w:rsid w:val="00907B1D"/>
    <w:rsid w:val="00910C42"/>
    <w:rsid w:val="00932AED"/>
    <w:rsid w:val="0095264B"/>
    <w:rsid w:val="00956676"/>
    <w:rsid w:val="00967AE1"/>
    <w:rsid w:val="00972D6B"/>
    <w:rsid w:val="00972E06"/>
    <w:rsid w:val="00976CF2"/>
    <w:rsid w:val="0098064F"/>
    <w:rsid w:val="00983A66"/>
    <w:rsid w:val="00991F04"/>
    <w:rsid w:val="00992D6B"/>
    <w:rsid w:val="009A1BF5"/>
    <w:rsid w:val="009A1EDD"/>
    <w:rsid w:val="009A6C82"/>
    <w:rsid w:val="009B58DE"/>
    <w:rsid w:val="009B6735"/>
    <w:rsid w:val="009D17F4"/>
    <w:rsid w:val="009E56E5"/>
    <w:rsid w:val="009F2AF1"/>
    <w:rsid w:val="009F785E"/>
    <w:rsid w:val="00A06556"/>
    <w:rsid w:val="00A06F15"/>
    <w:rsid w:val="00A221D2"/>
    <w:rsid w:val="00A404F3"/>
    <w:rsid w:val="00A423D7"/>
    <w:rsid w:val="00A54167"/>
    <w:rsid w:val="00A54E54"/>
    <w:rsid w:val="00A5671E"/>
    <w:rsid w:val="00A629DE"/>
    <w:rsid w:val="00A7336C"/>
    <w:rsid w:val="00A820C2"/>
    <w:rsid w:val="00A82377"/>
    <w:rsid w:val="00A84FCE"/>
    <w:rsid w:val="00A85D23"/>
    <w:rsid w:val="00AA68CE"/>
    <w:rsid w:val="00AA6BBC"/>
    <w:rsid w:val="00AB3448"/>
    <w:rsid w:val="00AB7372"/>
    <w:rsid w:val="00AC6CC1"/>
    <w:rsid w:val="00AE6394"/>
    <w:rsid w:val="00AF3580"/>
    <w:rsid w:val="00AF6B17"/>
    <w:rsid w:val="00B01723"/>
    <w:rsid w:val="00B056AA"/>
    <w:rsid w:val="00B1485C"/>
    <w:rsid w:val="00B21FC7"/>
    <w:rsid w:val="00B4069F"/>
    <w:rsid w:val="00B42A7F"/>
    <w:rsid w:val="00B52840"/>
    <w:rsid w:val="00B53C29"/>
    <w:rsid w:val="00B639BA"/>
    <w:rsid w:val="00B76098"/>
    <w:rsid w:val="00B7687A"/>
    <w:rsid w:val="00B801C9"/>
    <w:rsid w:val="00B8143B"/>
    <w:rsid w:val="00B87212"/>
    <w:rsid w:val="00B90C5D"/>
    <w:rsid w:val="00B974FA"/>
    <w:rsid w:val="00BA19A9"/>
    <w:rsid w:val="00BA77E5"/>
    <w:rsid w:val="00BC17FA"/>
    <w:rsid w:val="00BC28E1"/>
    <w:rsid w:val="00BF5DBF"/>
    <w:rsid w:val="00BF6B8A"/>
    <w:rsid w:val="00C104E1"/>
    <w:rsid w:val="00C151EA"/>
    <w:rsid w:val="00C30722"/>
    <w:rsid w:val="00C36A68"/>
    <w:rsid w:val="00C4041E"/>
    <w:rsid w:val="00C40B05"/>
    <w:rsid w:val="00C44F37"/>
    <w:rsid w:val="00C45A07"/>
    <w:rsid w:val="00C537EF"/>
    <w:rsid w:val="00C63BF8"/>
    <w:rsid w:val="00C93473"/>
    <w:rsid w:val="00CA2E98"/>
    <w:rsid w:val="00CB7A1C"/>
    <w:rsid w:val="00CC547B"/>
    <w:rsid w:val="00CC5FB5"/>
    <w:rsid w:val="00CD2362"/>
    <w:rsid w:val="00CD6033"/>
    <w:rsid w:val="00D04773"/>
    <w:rsid w:val="00D11C5C"/>
    <w:rsid w:val="00D149F6"/>
    <w:rsid w:val="00D34FCE"/>
    <w:rsid w:val="00D37545"/>
    <w:rsid w:val="00D4695F"/>
    <w:rsid w:val="00D47548"/>
    <w:rsid w:val="00D67EC9"/>
    <w:rsid w:val="00D7355B"/>
    <w:rsid w:val="00D82701"/>
    <w:rsid w:val="00D84099"/>
    <w:rsid w:val="00D90E4F"/>
    <w:rsid w:val="00DA059F"/>
    <w:rsid w:val="00DB2C9A"/>
    <w:rsid w:val="00DC4CA1"/>
    <w:rsid w:val="00DD3D33"/>
    <w:rsid w:val="00DD64D3"/>
    <w:rsid w:val="00DE463A"/>
    <w:rsid w:val="00DF0F40"/>
    <w:rsid w:val="00DF0F8A"/>
    <w:rsid w:val="00DF31BF"/>
    <w:rsid w:val="00E0284C"/>
    <w:rsid w:val="00E13EB0"/>
    <w:rsid w:val="00E14EB5"/>
    <w:rsid w:val="00E350C3"/>
    <w:rsid w:val="00E35758"/>
    <w:rsid w:val="00E43781"/>
    <w:rsid w:val="00E578E3"/>
    <w:rsid w:val="00E63E44"/>
    <w:rsid w:val="00E64698"/>
    <w:rsid w:val="00E647DF"/>
    <w:rsid w:val="00E64F2C"/>
    <w:rsid w:val="00E71E37"/>
    <w:rsid w:val="00EA261B"/>
    <w:rsid w:val="00EA2DD9"/>
    <w:rsid w:val="00EA30E7"/>
    <w:rsid w:val="00EA7E38"/>
    <w:rsid w:val="00EB4A3B"/>
    <w:rsid w:val="00EC2EC2"/>
    <w:rsid w:val="00EC3CB3"/>
    <w:rsid w:val="00ED3B68"/>
    <w:rsid w:val="00EE0B88"/>
    <w:rsid w:val="00EE5785"/>
    <w:rsid w:val="00EF24BD"/>
    <w:rsid w:val="00F07A5E"/>
    <w:rsid w:val="00F14282"/>
    <w:rsid w:val="00F33BB3"/>
    <w:rsid w:val="00F50F62"/>
    <w:rsid w:val="00F51041"/>
    <w:rsid w:val="00F60FBD"/>
    <w:rsid w:val="00F6582E"/>
    <w:rsid w:val="00F6767F"/>
    <w:rsid w:val="00F71DEB"/>
    <w:rsid w:val="00FB707B"/>
    <w:rsid w:val="00FE1A75"/>
    <w:rsid w:val="00FF03C2"/>
    <w:rsid w:val="00FF0C37"/>
    <w:rsid w:val="00FF1B96"/>
    <w:rsid w:val="00FF1CAB"/>
    <w:rsid w:val="01AC52A5"/>
    <w:rsid w:val="023B0783"/>
    <w:rsid w:val="034442E8"/>
    <w:rsid w:val="03B7507D"/>
    <w:rsid w:val="044B75FD"/>
    <w:rsid w:val="06BB2AD1"/>
    <w:rsid w:val="07882076"/>
    <w:rsid w:val="09232A89"/>
    <w:rsid w:val="0B55494D"/>
    <w:rsid w:val="0C186874"/>
    <w:rsid w:val="0D020D48"/>
    <w:rsid w:val="0D2E2505"/>
    <w:rsid w:val="0E3C0E87"/>
    <w:rsid w:val="0F293592"/>
    <w:rsid w:val="16644092"/>
    <w:rsid w:val="19570016"/>
    <w:rsid w:val="1D1C2D89"/>
    <w:rsid w:val="1F453748"/>
    <w:rsid w:val="2237703E"/>
    <w:rsid w:val="2A7F32FF"/>
    <w:rsid w:val="2B9F4EE3"/>
    <w:rsid w:val="2C3A196A"/>
    <w:rsid w:val="2D735845"/>
    <w:rsid w:val="2D926112"/>
    <w:rsid w:val="2E262E91"/>
    <w:rsid w:val="2F763C87"/>
    <w:rsid w:val="317E41B0"/>
    <w:rsid w:val="31CD2ED3"/>
    <w:rsid w:val="347943B1"/>
    <w:rsid w:val="352E762A"/>
    <w:rsid w:val="38297BF1"/>
    <w:rsid w:val="395E2AB9"/>
    <w:rsid w:val="3CA14C33"/>
    <w:rsid w:val="3E4D046D"/>
    <w:rsid w:val="3F235C9E"/>
    <w:rsid w:val="3F6567B5"/>
    <w:rsid w:val="40675C4C"/>
    <w:rsid w:val="46C14250"/>
    <w:rsid w:val="47116BF8"/>
    <w:rsid w:val="4B066F1F"/>
    <w:rsid w:val="4BD05A41"/>
    <w:rsid w:val="4ECA085B"/>
    <w:rsid w:val="52CE665A"/>
    <w:rsid w:val="53732F6D"/>
    <w:rsid w:val="5BC80E84"/>
    <w:rsid w:val="5BE74C40"/>
    <w:rsid w:val="5D131AFB"/>
    <w:rsid w:val="5DA435A6"/>
    <w:rsid w:val="5DC13B9F"/>
    <w:rsid w:val="5DD17436"/>
    <w:rsid w:val="6010301C"/>
    <w:rsid w:val="62A96D09"/>
    <w:rsid w:val="62C75B66"/>
    <w:rsid w:val="62DC6D3C"/>
    <w:rsid w:val="652405BF"/>
    <w:rsid w:val="66742081"/>
    <w:rsid w:val="668909B8"/>
    <w:rsid w:val="66BD18B2"/>
    <w:rsid w:val="695034B1"/>
    <w:rsid w:val="6ACD7C41"/>
    <w:rsid w:val="6B042417"/>
    <w:rsid w:val="6F861932"/>
    <w:rsid w:val="700E2620"/>
    <w:rsid w:val="702A2AD7"/>
    <w:rsid w:val="70FA7B9B"/>
    <w:rsid w:val="71873A29"/>
    <w:rsid w:val="74214AA0"/>
    <w:rsid w:val="75AF0036"/>
    <w:rsid w:val="75E06C68"/>
    <w:rsid w:val="770E3C20"/>
    <w:rsid w:val="774D0A53"/>
    <w:rsid w:val="7A984859"/>
    <w:rsid w:val="7AA16854"/>
    <w:rsid w:val="7AD16E0B"/>
    <w:rsid w:val="7B19797F"/>
    <w:rsid w:val="7D585F85"/>
    <w:rsid w:val="7D7C54E4"/>
    <w:rsid w:val="7EE83A53"/>
    <w:rsid w:val="7F33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Plain Text"/>
    <w:basedOn w:val="1"/>
    <w:link w:val="14"/>
    <w:qFormat/>
    <w:uiPriority w:val="99"/>
    <w:rPr>
      <w:rFonts w:ascii="宋体" w:hAnsi="Courier New" w:eastAsia="宋体"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纯文本 Char"/>
    <w:basedOn w:val="10"/>
    <w:link w:val="3"/>
    <w:qFormat/>
    <w:locked/>
    <w:uiPriority w:val="99"/>
    <w:rPr>
      <w:rFonts w:ascii="宋体" w:hAnsi="Courier New" w:eastAsia="宋体" w:cs="Courier New"/>
      <w:szCs w:val="21"/>
    </w:rPr>
  </w:style>
  <w:style w:type="character" w:customStyle="1" w:styleId="15">
    <w:name w:val="纯文本 字符1"/>
    <w:basedOn w:val="10"/>
    <w:semiHidden/>
    <w:qFormat/>
    <w:uiPriority w:val="99"/>
    <w:rPr>
      <w:rFonts w:hAnsi="Courier New" w:cs="Courier New" w:asciiTheme="minorEastAsia"/>
    </w:r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2"/>
    <w:semiHidden/>
    <w:qFormat/>
    <w:uiPriority w:val="99"/>
  </w:style>
  <w:style w:type="character" w:customStyle="1" w:styleId="18">
    <w:name w:val="批注主题 Char"/>
    <w:basedOn w:val="17"/>
    <w:link w:val="7"/>
    <w:semiHidden/>
    <w:qFormat/>
    <w:uiPriority w:val="99"/>
    <w:rPr>
      <w:b/>
      <w:bCs/>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E21FF-BD3A-471A-BD07-5DE250703C87}">
  <ds:schemaRefs/>
</ds:datastoreItem>
</file>

<file path=docProps/app.xml><?xml version="1.0" encoding="utf-8"?>
<Properties xmlns="http://schemas.openxmlformats.org/officeDocument/2006/extended-properties" xmlns:vt="http://schemas.openxmlformats.org/officeDocument/2006/docPropsVTypes">
  <Template>Normal</Template>
  <Pages>1</Pages>
  <Words>1998</Words>
  <Characters>1998</Characters>
  <Lines>105</Lines>
  <Paragraphs>71</Paragraphs>
  <TotalTime>2</TotalTime>
  <ScaleCrop>false</ScaleCrop>
  <LinksUpToDate>false</LinksUpToDate>
  <CharactersWithSpaces>3925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2021-01-07T10:01:00Z</dcterms:created>
  <dc:creator>姜锐</dc:creator>
  <cp:lastModifiedBy>王添翼</cp:lastModifiedBy>
  <cp:lastPrinted>2021-01-07T05:57:00Z</cp:lastPrinted>
  <dcterms:modified xsi:type="dcterms:W3CDTF">2023-06-25T02:23:41Z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